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ind w:end="0"/>
        <w:jc w:val="center"/>
        <w:rPr>
          <w:rFonts w:ascii="Arial" w:hAnsi="Arial" w:eastAsia="Arial" w:cs="Arial"/>
          <w:b/>
          <w:bCs/>
          <w:i w:val="false"/>
          <w:iCs w:val="false"/>
          <w:sz w:val="20"/>
          <w:szCs w:val="20"/>
          <w:lang w:val="ca-ES"/>
        </w:rPr>
      </w:pPr>
      <w:r>
        <w:rPr>
          <w:rFonts w:cs="Helvetica Light*" w:ascii="Helvetica Light*" w:hAnsi="Helvetica Light*"/>
          <w:sz w:val="20"/>
          <w:szCs w:val="20"/>
          <w:lang w:val="ca-ES"/>
        </w:rPr>
      </w:r>
    </w:p>
    <w:p>
      <w:pPr>
        <w:pStyle w:val="Normal"/>
        <w:suppressAutoHyphens w:val="true"/>
        <w:jc w:val="both"/>
        <w:rPr>
          <w:rFonts w:ascii="Arial" w:hAnsi="Arial"/>
          <w:b/>
          <w:bCs/>
          <w:sz w:val="20"/>
          <w:szCs w:val="20"/>
          <w:u w:val="single"/>
          <w:lang w:val="ca-ES"/>
        </w:rPr>
      </w:pPr>
      <w:r>
        <w:rPr>
          <w:rFonts w:ascii="Arial" w:hAnsi="Arial"/>
          <w:b/>
          <w:bCs/>
          <w:sz w:val="20"/>
          <w:szCs w:val="20"/>
          <w:u w:val="single"/>
          <w:lang w:val="ca-ES"/>
        </w:rPr>
        <w:t>ANNEX 4 - MODEL NORMALITZAT D’AL·LEGACIÓ DE MÈRITS</w:t>
      </w:r>
    </w:p>
    <w:p>
      <w:pPr>
        <w:pStyle w:val="Normal"/>
        <w:keepLines/>
        <w:suppressAutoHyphens w:val="true"/>
        <w:ind w:hanging="0" w:start="0" w:end="170"/>
        <w:jc w:val="both"/>
        <w:rPr>
          <w:rFonts w:ascii="Arial" w:hAnsi="Arial"/>
          <w:b w:val="false"/>
          <w:sz w:val="18"/>
          <w:szCs w:val="18"/>
          <w:lang w:val="ca-ES"/>
        </w:rPr>
      </w:pPr>
      <w:r>
        <w:rPr>
          <w:rFonts w:cs="Arial" w:ascii="Arial" w:hAnsi="Arial"/>
          <w:b w:val="false"/>
          <w:bCs w:val="false"/>
          <w:sz w:val="18"/>
          <w:szCs w:val="18"/>
          <w:lang w:val="ca-ES"/>
        </w:rPr>
        <w:t>PROCÉS SELECTIU PER DOS (2) LLOCS DE TREBALL DE PROFESSOR/A DE MÚSICA, GRUP A1, PERSONAL LABORAL FIX  I LA CONSTITUCIÓ D'UNA BORSA DE TREBALL.</w:t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Lines/>
              <w:suppressAutoHyphens w:val="true"/>
              <w:spacing w:before="0" w:after="2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  <w:lang w:val="ca-ES"/>
              </w:rPr>
              <w:t xml:space="preserve">D’acord amb les clàusules quarta i novena de les bases del procés, aquest document s’ha de presentar amb la sol·licitud de participació enumerant correlativament els mèrits que hauran d’al·legar posteriorment, els/les aspirants que superin la fase d’oposició. 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lang w:val="ca-ES"/>
              </w:rPr>
              <w:t xml:space="preserve">Els mèrits relacionats en aquest full es justificaran, en el termini dels cinc (5) dies hàbils posteriors a la publicació a la pàgina web del 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  <w:lang w:val="ca-ES"/>
              </w:rPr>
              <w:t xml:space="preserve">llistat dels candidats que passen a la fase de concurs de mèrits, 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lang w:val="ca-ES"/>
              </w:rPr>
              <w:t>mitjançant fotocòpies dels documents que els acreditin i respectant el mateix ordre numèric (col. «N») que s’hagi assignat prèviament. Qualsevol document presentat fora d’aquest termini  no serà tingut en compte.</w:t>
            </w:r>
          </w:p>
        </w:tc>
      </w:tr>
    </w:tbl>
    <w:p>
      <w:pPr>
        <w:pStyle w:val="Normal"/>
        <w:keepLines/>
        <w:suppressAutoHyphens w:val="true"/>
        <w:jc w:val="both"/>
        <w:rPr>
          <w:rStyle w:val="Fuentedeprrafopredeter"/>
          <w:rFonts w:ascii="Arial" w:hAnsi="Arial" w:cs="Arial"/>
          <w:b w:val="false"/>
          <w:bCs w:val="false"/>
          <w:color w:val="000000"/>
          <w:sz w:val="18"/>
          <w:szCs w:val="18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18"/>
          <w:szCs w:val="18"/>
          <w:lang w:val="ca-ES"/>
        </w:rPr>
      </w:r>
    </w:p>
    <w:p>
      <w:pPr>
        <w:pStyle w:val="Normal"/>
        <w:keepLines/>
        <w:suppressAutoHyphens w:val="true"/>
        <w:jc w:val="both"/>
        <w:rPr>
          <w:rFonts w:ascii="Arial" w:hAnsi="Arial"/>
          <w:sz w:val="20"/>
          <w:szCs w:val="20"/>
        </w:rPr>
      </w:pPr>
      <w:r>
        <w:rPr>
          <w:rStyle w:val="Fuentedeprrafopredeter"/>
          <w:rFonts w:cs="Arial" w:ascii="Arial" w:hAnsi="Arial"/>
          <w:b/>
          <w:bCs/>
          <w:color w:val="000000"/>
          <w:sz w:val="20"/>
          <w:szCs w:val="20"/>
          <w:lang w:val="ca-ES"/>
        </w:rPr>
        <w:t>Base 9.1. Experiència professional (màxim 6 punts)</w:t>
      </w:r>
    </w:p>
    <w:p>
      <w:pPr>
        <w:pStyle w:val="Normal"/>
        <w:keepLines/>
        <w:suppressAutoHyphens w:val="true"/>
        <w:jc w:val="both"/>
        <w:rPr>
          <w:rFonts w:ascii="Arial" w:hAnsi="Arial"/>
          <w:sz w:val="20"/>
          <w:szCs w:val="20"/>
        </w:rPr>
      </w:pP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shd w:fill="auto" w:val="clear"/>
          <w:lang w:val="ca-ES"/>
        </w:rPr>
        <w:t>Per cada mes complert de serveis prestats en les escoles de música i conservatoris, públics o privats: 0,10 punts.</w:t>
      </w:r>
    </w:p>
    <w:tbl>
      <w:tblPr>
        <w:tblW w:w="9634" w:type="dxa"/>
        <w:jc w:val="start"/>
        <w:tblInd w:w="-6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339"/>
        <w:gridCol w:w="6182"/>
        <w:gridCol w:w="904"/>
        <w:gridCol w:w="911"/>
        <w:gridCol w:w="674"/>
        <w:gridCol w:w="624"/>
      </w:tblGrid>
      <w:tr>
        <w:trPr>
          <w:trHeight w:val="285" w:hRule="atLeast"/>
        </w:trPr>
        <w:tc>
          <w:tcPr>
            <w:tcW w:w="339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N.</w:t>
            </w:r>
          </w:p>
        </w:tc>
        <w:tc>
          <w:tcPr>
            <w:tcW w:w="6182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Escoles de música i conservatoris</w:t>
            </w:r>
          </w:p>
        </w:tc>
        <w:tc>
          <w:tcPr>
            <w:tcW w:w="904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center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Data inici</w:t>
            </w:r>
          </w:p>
        </w:tc>
        <w:tc>
          <w:tcPr>
            <w:tcW w:w="911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center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Data final</w:t>
            </w:r>
          </w:p>
        </w:tc>
        <w:tc>
          <w:tcPr>
            <w:tcW w:w="674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center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Mesos</w:t>
            </w:r>
          </w:p>
        </w:tc>
        <w:tc>
          <w:tcPr>
            <w:tcW w:w="624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center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Punts</w:t>
            </w:r>
          </w:p>
        </w:tc>
      </w:tr>
      <w:tr>
        <w:trPr/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182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04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11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74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24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</w:tr>
      <w:tr>
        <w:trPr/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182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04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11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74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24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</w:tr>
      <w:tr>
        <w:trPr/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182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04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11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74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24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</w:tr>
    </w:tbl>
    <w:p>
      <w:pPr>
        <w:pStyle w:val="Normal"/>
        <w:keepLines/>
        <w:suppressAutoHyphens w:val="true"/>
        <w:jc w:val="both"/>
        <w:rPr>
          <w:rFonts w:ascii="Arial" w:hAnsi="Arial"/>
          <w:sz w:val="18"/>
          <w:szCs w:val="18"/>
          <w:lang w:val="ca-ES"/>
        </w:rPr>
      </w:pPr>
      <w:r>
        <w:rPr>
          <w:rFonts w:cs="Arial"/>
          <w:b w:val="false"/>
          <w:bCs w:val="false"/>
          <w:color w:val="000000"/>
          <w:sz w:val="20"/>
          <w:shd w:fill="auto" w:val="clear"/>
          <w:lang w:val="ca-ES"/>
        </w:rPr>
      </w:r>
    </w:p>
    <w:p>
      <w:pPr>
        <w:pStyle w:val="Normal"/>
        <w:keepLines/>
        <w:suppressAutoHyphens w:val="true"/>
        <w:jc w:val="both"/>
        <w:rPr>
          <w:rFonts w:ascii="Arial" w:hAnsi="Arial"/>
          <w:sz w:val="20"/>
          <w:szCs w:val="20"/>
        </w:rPr>
      </w:pPr>
      <w:r>
        <w:rPr>
          <w:rStyle w:val="Fuentedeprrafopredeter"/>
          <w:rFonts w:cs="Arial" w:ascii="Arial" w:hAnsi="Arial"/>
          <w:b/>
          <w:bCs/>
          <w:color w:val="000000"/>
          <w:sz w:val="20"/>
          <w:szCs w:val="20"/>
          <w:lang w:val="ca-ES"/>
        </w:rPr>
        <w:t>Base 9.2. Formació (màxim 3 punts)</w:t>
      </w:r>
    </w:p>
    <w:p>
      <w:pPr>
        <w:pStyle w:val="Normal"/>
        <w:keepLines/>
        <w:suppressAutoHyphens w:val="true"/>
        <w:jc w:val="both"/>
        <w:rPr>
          <w:rFonts w:ascii="Arial" w:hAnsi="Arial"/>
          <w:sz w:val="20"/>
          <w:szCs w:val="20"/>
        </w:rPr>
      </w:pP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lang w:val="ca-ES"/>
        </w:rPr>
        <w:t xml:space="preserve">9.2.1.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shd w:fill="auto" w:val="clear"/>
          <w:lang w:val="ca-ES"/>
        </w:rPr>
        <w:t>Formació reglada (màxim 1 punt)</w:t>
      </w:r>
    </w:p>
    <w:tbl>
      <w:tblPr>
        <w:tblW w:w="9630" w:type="dxa"/>
        <w:jc w:val="start"/>
        <w:tblInd w:w="-6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338"/>
        <w:gridCol w:w="8106"/>
        <w:gridCol w:w="1186"/>
      </w:tblGrid>
      <w:tr>
        <w:trPr/>
        <w:tc>
          <w:tcPr>
            <w:tcW w:w="338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N.</w:t>
            </w:r>
          </w:p>
        </w:tc>
        <w:tc>
          <w:tcPr>
            <w:tcW w:w="8106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Títol universitari/Màster/Postgrau</w:t>
            </w:r>
          </w:p>
        </w:tc>
        <w:tc>
          <w:tcPr>
            <w:tcW w:w="1186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Punts</w:t>
            </w:r>
          </w:p>
        </w:tc>
      </w:tr>
      <w:tr>
        <w:trPr/>
        <w:tc>
          <w:tcPr>
            <w:tcW w:w="338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8106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11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</w:tr>
      <w:tr>
        <w:trPr/>
        <w:tc>
          <w:tcPr>
            <w:tcW w:w="338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8106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118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</w:tr>
    </w:tbl>
    <w:p>
      <w:pPr>
        <w:pStyle w:val="Normal"/>
        <w:keepLines/>
        <w:suppressAutoHyphens w:val="true"/>
        <w:jc w:val="both"/>
        <w:rPr>
          <w:rFonts w:ascii="Arial" w:hAnsi="Arial"/>
          <w:sz w:val="18"/>
          <w:szCs w:val="18"/>
          <w:lang w:val="ca-ES"/>
        </w:rPr>
      </w:pPr>
      <w:r>
        <w:rPr>
          <w:rFonts w:ascii="Arial" w:hAnsi="Arial"/>
          <w:sz w:val="18"/>
          <w:szCs w:val="18"/>
          <w:lang w:val="ca-ES"/>
        </w:rPr>
      </w:r>
    </w:p>
    <w:p>
      <w:pPr>
        <w:pStyle w:val="Normal"/>
        <w:keepLines/>
        <w:suppressAutoHyphens w:val="true"/>
        <w:jc w:val="both"/>
        <w:rPr>
          <w:rFonts w:ascii="Arial" w:hAnsi="Arial"/>
          <w:sz w:val="20"/>
          <w:szCs w:val="20"/>
        </w:rPr>
      </w:pP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lang w:val="ca-ES"/>
        </w:rPr>
        <w:t xml:space="preserve">9.2.2. Formació complementària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shd w:fill="auto" w:val="clear"/>
          <w:lang w:val="ca-ES"/>
        </w:rPr>
        <w:t>(màxim 2 punt)</w:t>
      </w:r>
    </w:p>
    <w:tbl>
      <w:tblPr>
        <w:tblW w:w="9630" w:type="dxa"/>
        <w:jc w:val="start"/>
        <w:tblInd w:w="-6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339"/>
        <w:gridCol w:w="6186"/>
        <w:gridCol w:w="900"/>
        <w:gridCol w:w="795"/>
        <w:gridCol w:w="790"/>
        <w:gridCol w:w="620"/>
      </w:tblGrid>
      <w:tr>
        <w:trPr>
          <w:trHeight w:val="450" w:hRule="atLeast"/>
        </w:trPr>
        <w:tc>
          <w:tcPr>
            <w:tcW w:w="339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N.</w:t>
            </w:r>
          </w:p>
        </w:tc>
        <w:tc>
          <w:tcPr>
            <w:tcW w:w="6186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Nom del curs</w:t>
            </w:r>
          </w:p>
        </w:tc>
        <w:tc>
          <w:tcPr>
            <w:tcW w:w="900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Durada hores</w:t>
            </w:r>
          </w:p>
        </w:tc>
        <w:tc>
          <w:tcPr>
            <w:tcW w:w="795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Certificat aprofita.</w:t>
            </w:r>
          </w:p>
        </w:tc>
        <w:tc>
          <w:tcPr>
            <w:tcW w:w="790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Certificat assist.</w:t>
            </w:r>
          </w:p>
        </w:tc>
        <w:tc>
          <w:tcPr>
            <w:tcW w:w="620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Punts</w:t>
            </w:r>
          </w:p>
        </w:tc>
      </w:tr>
      <w:tr>
        <w:trPr/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86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900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5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0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20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  <w:tr>
        <w:trPr/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86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900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5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0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20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  <w:tr>
        <w:trPr/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86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900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5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0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20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  <w:tr>
        <w:trPr/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86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900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5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0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20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  <w:tr>
        <w:trPr/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86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900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5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0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20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  <w:tr>
        <w:trPr/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86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900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5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0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20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  <w:tr>
        <w:trPr/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86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900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5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0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20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  <w:tr>
        <w:trPr/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86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900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5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0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20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  <w:tr>
        <w:trPr/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auto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auto" w:val="clear"/>
                <w:lang w:val="ca-ES"/>
              </w:rPr>
            </w:r>
          </w:p>
        </w:tc>
        <w:tc>
          <w:tcPr>
            <w:tcW w:w="6186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auto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auto" w:val="clear"/>
                <w:lang w:val="ca-ES"/>
              </w:rPr>
            </w:r>
          </w:p>
        </w:tc>
        <w:tc>
          <w:tcPr>
            <w:tcW w:w="900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auto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auto" w:val="clear"/>
                <w:lang w:val="ca-ES"/>
              </w:rPr>
            </w:r>
          </w:p>
        </w:tc>
        <w:tc>
          <w:tcPr>
            <w:tcW w:w="795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auto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auto" w:val="clear"/>
                <w:lang w:val="ca-ES"/>
              </w:rPr>
            </w:r>
          </w:p>
        </w:tc>
        <w:tc>
          <w:tcPr>
            <w:tcW w:w="790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auto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auto" w:val="clear"/>
                <w:lang w:val="ca-ES"/>
              </w:rPr>
            </w:r>
          </w:p>
        </w:tc>
        <w:tc>
          <w:tcPr>
            <w:tcW w:w="620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ingutdelataulauser"/>
              <w:keepLines/>
              <w:suppressAutoHyphens w:val="tru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auto" w:val="clear"/>
                <w:lang w:val="ca-E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shd w:fill="auto" w:val="clear"/>
                <w:lang w:val="ca-ES"/>
              </w:rPr>
            </w:r>
          </w:p>
        </w:tc>
      </w:tr>
    </w:tbl>
    <w:p>
      <w:pPr>
        <w:pStyle w:val="Normal"/>
        <w:keepLines/>
        <w:suppressAutoHyphens w:val="true"/>
        <w:jc w:val="both"/>
        <w:rPr>
          <w:rStyle w:val="Fuentedeprrafopredeter"/>
          <w:rFonts w:ascii="Arial" w:hAnsi="Arial" w:cs="Arial"/>
          <w:b w:val="false"/>
          <w:bCs w:val="false"/>
          <w:color w:val="000000"/>
          <w:sz w:val="18"/>
          <w:szCs w:val="18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18"/>
          <w:szCs w:val="18"/>
          <w:lang w:val="ca-ES"/>
        </w:rPr>
      </w:r>
    </w:p>
    <w:p>
      <w:pPr>
        <w:pStyle w:val="Normal"/>
        <w:keepLines/>
        <w:suppressAutoHyphens w:val="true"/>
        <w:spacing w:before="0" w:after="200"/>
        <w:jc w:val="both"/>
        <w:rPr>
          <w:rStyle w:val="Fuentedeprrafopredeter"/>
          <w:rFonts w:ascii="Arial" w:hAnsi="Arial" w:cs="Helvetica Light*"/>
          <w:b/>
          <w:bCs w:val="false"/>
          <w:color w:val="000000"/>
          <w:sz w:val="22"/>
          <w:szCs w:val="22"/>
          <w:shd w:fill="auto" w:val="clear"/>
          <w:lang w:val="ca-ES"/>
        </w:rPr>
      </w:pPr>
      <w:r>
        <w:rPr>
          <w:rFonts w:cs="Helvetica Light*" w:ascii="Arial" w:hAnsi="Arial"/>
          <w:b/>
          <w:bCs w:val="false"/>
          <w:color w:val="000000"/>
          <w:sz w:val="22"/>
          <w:szCs w:val="22"/>
          <w:shd w:fill="auto" w:val="clear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5" w:right="1416" w:gutter="0" w:header="425" w:top="2413" w:footer="295" w:bottom="112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Lucida Grande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Helvetica Neue">
    <w:charset w:val="00" w:characterSet="windows-1252"/>
    <w:family w:val="roman"/>
    <w:pitch w:val="variable"/>
  </w:font>
  <w:font w:name="Helvetica">
    <w:altName w:val="Arial"/>
    <w:charset w:val="00" w:characterSet="windows-1252"/>
    <w:family w:val="roman"/>
    <w:pitch w:val="variable"/>
  </w:font>
  <w:font w:name="Helvetica Light*">
    <w:charset w:val="00" w:characterSet="windows-1252"/>
    <w:family w:val="swiss"/>
    <w:pitch w:val="variable"/>
  </w:font>
  <w:font w:name="Helvetica LT Std">
    <w:altName w:val="Arial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center"/>
      <w:rPr>
        <w:rFonts w:ascii="Helvetica LT Std;Arial" w:hAnsi="Helvetica LT Std;Arial" w:cs="Helvetica LT Std;Arial"/>
        <w:color w:val="808080"/>
        <w:sz w:val="15"/>
        <w:szCs w:val="16"/>
        <w:lang w:val="fr-FR"/>
      </w:rPr>
    </w:pPr>
    <w:r>
      <w:rPr>
        <w:rFonts w:cs="Helvetica LT Std;Arial" w:ascii="Helvetica LT Std;Arial" w:hAnsi="Helvetica LT Std;Arial"/>
        <w:color w:val="808080"/>
        <w:sz w:val="15"/>
        <w:szCs w:val="16"/>
        <w:lang w:val="fr-FR"/>
      </w:rPr>
      <w:t>NIF: P0819600H · Pl. de la Vila, 1 · 08392, Sant Andreu de Llavaneres · Tel. 93 702 36 00 · Fax 93 702 36 35 · www.ajllavaneres.cat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center"/>
      <w:rPr>
        <w:rFonts w:ascii="Helvetica LT Std;Arial" w:hAnsi="Helvetica LT Std;Arial" w:cs="Helvetica LT Std;Arial"/>
        <w:color w:val="808080"/>
        <w:sz w:val="15"/>
        <w:szCs w:val="16"/>
        <w:lang w:val="fr-FR"/>
      </w:rPr>
    </w:pPr>
    <w:r>
      <w:rPr>
        <w:rFonts w:cs="Helvetica LT Std;Arial" w:ascii="Helvetica LT Std;Arial" w:hAnsi="Helvetica LT Std;Arial"/>
        <w:color w:val="808080"/>
        <w:sz w:val="15"/>
        <w:szCs w:val="16"/>
        <w:lang w:val="fr-FR"/>
      </w:rPr>
      <w:t>NIF: P0819600H · Pl. de la Vila, 1 · 08392, Sant Andreu de Llavaneres · Tel. 93 702 36 00 · Fax 93 702 36 35 · www.ajllavaneres.cat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2838" w:type="dxa"/>
      <w:jc w:val="start"/>
      <w:tblInd w:w="46" w:type="dxa"/>
      <w:tblLayout w:type="fixed"/>
      <w:tblCellMar>
        <w:top w:w="55" w:type="dxa"/>
        <w:start w:w="55" w:type="dxa"/>
        <w:bottom w:w="55" w:type="dxa"/>
        <w:end w:w="55" w:type="dxa"/>
      </w:tblCellMar>
    </w:tblPr>
    <w:tblGrid>
      <w:gridCol w:w="2838"/>
    </w:tblGrid>
    <w:tr>
      <w:trPr>
        <w:trHeight w:val="1134" w:hRule="atLeast"/>
      </w:trPr>
      <w:tc>
        <w:tcPr>
          <w:tcW w:w="2838" w:type="dxa"/>
          <w:tcBorders>
            <w:bottom w:val="single" w:sz="4" w:space="0" w:color="000000"/>
          </w:tcBorders>
          <w:vAlign w:val="center"/>
        </w:tcPr>
        <w:p>
          <w:pPr>
            <w:pStyle w:val="Contingutdelataulauser"/>
            <w:snapToGrid w:val="false"/>
            <w:spacing w:before="0" w:after="200"/>
            <w:jc w:val="star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margin">
                  <wp:posOffset>-22860</wp:posOffset>
                </wp:positionH>
                <wp:positionV relativeFrom="paragraph">
                  <wp:posOffset>-46990</wp:posOffset>
                </wp:positionV>
                <wp:extent cx="1436370" cy="677545"/>
                <wp:effectExtent l="0" t="0" r="0" b="0"/>
                <wp:wrapSquare wrapText="largest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25" t="-265" r="-125" b="-2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6370" cy="6775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355" w:hRule="atLeast"/>
      </w:trPr>
      <w:tc>
        <w:tcPr>
          <w:tcW w:w="2838" w:type="dxa"/>
          <w:tcBorders/>
          <w:vAlign w:val="bottom"/>
        </w:tcPr>
        <w:p>
          <w:pPr>
            <w:pStyle w:val="Contingutdelataulauser"/>
            <w:spacing w:before="0" w:after="200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Recursos Humans</w:t>
          </w:r>
        </w:p>
      </w:tc>
    </w:tr>
  </w:tbl>
  <w:p>
    <w:pPr>
      <w:pStyle w:val="Normal"/>
      <w:spacing w:before="0" w:after="0"/>
      <w:ind w:end="-717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2838" w:type="dxa"/>
      <w:jc w:val="start"/>
      <w:tblInd w:w="46" w:type="dxa"/>
      <w:tblLayout w:type="fixed"/>
      <w:tblCellMar>
        <w:top w:w="55" w:type="dxa"/>
        <w:start w:w="55" w:type="dxa"/>
        <w:bottom w:w="55" w:type="dxa"/>
        <w:end w:w="55" w:type="dxa"/>
      </w:tblCellMar>
    </w:tblPr>
    <w:tblGrid>
      <w:gridCol w:w="2838"/>
    </w:tblGrid>
    <w:tr>
      <w:trPr>
        <w:trHeight w:val="1134" w:hRule="atLeast"/>
      </w:trPr>
      <w:tc>
        <w:tcPr>
          <w:tcW w:w="2838" w:type="dxa"/>
          <w:tcBorders>
            <w:bottom w:val="single" w:sz="4" w:space="0" w:color="000000"/>
          </w:tcBorders>
          <w:vAlign w:val="center"/>
        </w:tcPr>
        <w:p>
          <w:pPr>
            <w:pStyle w:val="Contingutdelataulauser"/>
            <w:snapToGrid w:val="false"/>
            <w:spacing w:before="0" w:after="200"/>
            <w:jc w:val="star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margin">
                  <wp:posOffset>-22860</wp:posOffset>
                </wp:positionH>
                <wp:positionV relativeFrom="paragraph">
                  <wp:posOffset>-46990</wp:posOffset>
                </wp:positionV>
                <wp:extent cx="1436370" cy="677545"/>
                <wp:effectExtent l="0" t="0" r="0" b="0"/>
                <wp:wrapSquare wrapText="largest"/>
                <wp:docPr id="2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25" t="-265" r="-125" b="-2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6370" cy="6775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355" w:hRule="atLeast"/>
      </w:trPr>
      <w:tc>
        <w:tcPr>
          <w:tcW w:w="2838" w:type="dxa"/>
          <w:tcBorders/>
          <w:vAlign w:val="bottom"/>
        </w:tcPr>
        <w:p>
          <w:pPr>
            <w:pStyle w:val="Contingutdelataulauser"/>
            <w:spacing w:before="0" w:after="200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Recursos Humans</w:t>
          </w:r>
        </w:p>
      </w:tc>
    </w:tr>
  </w:tbl>
  <w:p>
    <w:pPr>
      <w:pStyle w:val="Normal"/>
      <w:spacing w:before="0" w:after="0"/>
      <w:ind w:end="-717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200"/>
      <w:jc w:val="start"/>
    </w:pPr>
    <w:rPr>
      <w:rFonts w:ascii="Cambria" w:hAnsi="Cambria" w:eastAsia="Cambria" w:cs="Cambria"/>
      <w:color w:val="auto"/>
      <w:kern w:val="2"/>
      <w:sz w:val="24"/>
      <w:szCs w:val="24"/>
      <w:lang w:val="ca-E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suppressAutoHyphens w:val="false"/>
      <w:spacing w:before="0" w:after="0"/>
      <w:jc w:val="center"/>
      <w:outlineLvl w:val="0"/>
    </w:pPr>
    <w:rPr>
      <w:rFonts w:ascii="Times New Roman" w:hAnsi="Times New Roman" w:eastAsia="Times New Roman" w:cs="Times New Roman"/>
      <w:kern w:val="2"/>
      <w:szCs w:val="20"/>
      <w:lang w:val="es-E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7z1">
    <w:name w:val="WW8Num7z1"/>
    <w:qFormat/>
    <w:rPr>
      <w:rFonts w:ascii="Wingdings" w:hAnsi="Wingdings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9z0">
    <w:name w:val="WW8Num9z0"/>
    <w:qFormat/>
    <w:rPr>
      <w:rFonts w:ascii="Symbol" w:hAnsi="Symbol" w:cs="OpenSymbol;Arial Unicode MS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WW8Num11z0">
    <w:name w:val="WW8Num11z0"/>
    <w:qFormat/>
    <w:rPr>
      <w:rFonts w:ascii="Symbol" w:hAnsi="Symbol" w:cs="OpenSymbol;Arial Unicode MS"/>
    </w:rPr>
  </w:style>
  <w:style w:type="character" w:styleId="WW8Num12z0">
    <w:name w:val="WW8Num12z0"/>
    <w:qFormat/>
    <w:rPr>
      <w:rFonts w:ascii="Symbol" w:hAnsi="Symbol" w:cs="OpenSymbol;Arial Unicode MS"/>
    </w:rPr>
  </w:style>
  <w:style w:type="character" w:styleId="WW8Num13z0">
    <w:name w:val="WW8Num13z0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Symbol" w:hAnsi="Symbol" w:cs="OpenSymbol;Arial Unicode MS"/>
    </w:rPr>
  </w:style>
  <w:style w:type="character" w:styleId="WW8Num8z1">
    <w:name w:val="WW8Num8z1"/>
    <w:qFormat/>
    <w:rPr>
      <w:rFonts w:ascii="Wingdings" w:hAnsi="Wingdings" w:cs="OpenSymbol;Arial Unicode MS"/>
    </w:rPr>
  </w:style>
  <w:style w:type="character" w:styleId="WW8Num13z1">
    <w:name w:val="WW8Num13z1"/>
    <w:qFormat/>
    <w:rPr>
      <w:rFonts w:ascii="OpenSymbol;Arial Unicode MS" w:hAnsi="OpenSymbol;Arial Unicode MS" w:cs="OpenSymbol;Arial Unicode MS"/>
    </w:rPr>
  </w:style>
  <w:style w:type="character" w:styleId="WW8Num15z0">
    <w:name w:val="WW8Num15z0"/>
    <w:qFormat/>
    <w:rPr>
      <w:rFonts w:ascii="Symbol" w:hAnsi="Symbol" w:cs="OpenSymbol;Arial Unicode MS"/>
    </w:rPr>
  </w:style>
  <w:style w:type="character" w:styleId="WW8Num16z0">
    <w:name w:val="WW8Num16z0"/>
    <w:qFormat/>
    <w:rPr>
      <w:rFonts w:ascii="Symbol" w:hAnsi="Symbol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uentedeprrafopredeter">
    <w:name w:val="Fuente de párrafo predeter."/>
    <w:qFormat/>
    <w:rPr/>
  </w:style>
  <w:style w:type="character" w:styleId="Fuentedeprrafopredeter1">
    <w:name w:val="Fuente de párrafo predeter.1"/>
    <w:qFormat/>
    <w:rPr/>
  </w:style>
  <w:style w:type="character" w:styleId="MapadeldocumentoCar">
    <w:name w:val="Mapa del documento Car"/>
    <w:qFormat/>
    <w:rPr>
      <w:rFonts w:ascii="Lucida Grande" w:hAnsi="Lucida Grande" w:cs="Lucida Grande"/>
    </w:rPr>
  </w:style>
  <w:style w:type="character" w:styleId="Strong">
    <w:name w:val="Strong"/>
    <w:qFormat/>
    <w:rPr>
      <w:b/>
      <w:bCs/>
    </w:rPr>
  </w:style>
  <w:style w:type="character" w:styleId="Carctersdenotaalpeu">
    <w:name w:val="Caràcters de nota al peu"/>
    <w:qFormat/>
    <w:rPr/>
  </w:style>
  <w:style w:type="character" w:styleId="Carctersdenotafinal">
    <w:name w:val="Caràcters de nota final"/>
    <w:qFormat/>
    <w:rPr/>
  </w:style>
  <w:style w:type="character" w:styleId="CarCar">
    <w:name w:val=" Car Car"/>
    <w:qFormat/>
    <w:rPr>
      <w:rFonts w:ascii="Cambria" w:hAnsi="Cambria" w:eastAsia="Cambria" w:cs="Cambria"/>
      <w:kern w:val="2"/>
      <w:sz w:val="24"/>
      <w:szCs w:val="24"/>
      <w:lang w:val="es-ES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Picsuser">
    <w:name w:val="Pics (user)"/>
    <w:qFormat/>
    <w:rPr>
      <w:rFonts w:ascii="OpenSymbol;Arial Unicode MS" w:hAnsi="OpenSymbol;Arial Unicode MS" w:eastAsia="OpenSymbol;Arial Unicode MS" w:cs="OpenSymbol;Arial Unicode MS"/>
    </w:rPr>
  </w:style>
  <w:style w:type="character" w:styleId="Smbolsdenumeraciuser">
    <w:name w:val="Símbols de numeració (user)"/>
    <w:qFormat/>
    <w:rPr>
      <w:rFonts w:ascii="Arial" w:hAnsi="Arial" w:cs="Arial"/>
      <w:b w:val="false"/>
      <w:bCs w:val="false"/>
      <w:sz w:val="20"/>
      <w:szCs w:val="20"/>
    </w:rPr>
  </w:style>
  <w:style w:type="character" w:styleId="Cap">
    <w:name w:val="Cap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Mang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Mapadeldocumento1">
    <w:name w:val="Mapa del documento1"/>
    <w:basedOn w:val="Normal"/>
    <w:qFormat/>
    <w:pPr>
      <w:spacing w:before="0" w:after="0"/>
    </w:pPr>
    <w:rPr>
      <w:rFonts w:ascii="Lucida Grande" w:hAnsi="Lucida Grande" w:cs="Lucida Grande"/>
    </w:rPr>
  </w:style>
  <w:style w:type="paragraph" w:styleId="Contingutdelmarc">
    <w:name w:val="Contingut del marc"/>
    <w:basedOn w:val="BodyText"/>
    <w:qFormat/>
    <w:pPr/>
    <w:rPr/>
  </w:style>
  <w:style w:type="paragraph" w:styleId="Capaleraipeudepginauser">
    <w:name w:val="Capçalera i peu de pàgina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next w:val="Cos"/>
    <w:qFormat/>
    <w:pPr>
      <w:keepNext w:val="true"/>
      <w:keepLines w:val="false"/>
      <w:pageBreakBefore w:val="false"/>
      <w:widowControl/>
      <w:numPr>
        <w:ilvl w:val="0"/>
        <w:numId w:val="0"/>
      </w:numPr>
      <w:suppressAutoHyphens w:val="false"/>
      <w:overflowPunct w:val="false"/>
      <w:bidi w:val="0"/>
      <w:spacing w:lineRule="auto" w:line="240" w:before="0" w:after="0"/>
      <w:ind w:hanging="0" w:start="0" w:end="0"/>
      <w:jc w:val="start"/>
      <w:outlineLvl w:val="0"/>
    </w:pPr>
    <w:rPr>
      <w:rFonts w:ascii="Helvetica Neue" w:hAnsi="Helvetica Neue" w:eastAsia="Arial Unicode MS" w:cs="Arial Unicode MS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36"/>
      <w:szCs w:val="36"/>
      <w:u w:val="none"/>
      <w:vertAlign w:val="baseline"/>
      <w:lang w:val="es-ES" w:eastAsia="zh-CN" w:bidi="hi-IN"/>
    </w:rPr>
  </w:style>
  <w:style w:type="paragraph" w:styleId="FootnoteText">
    <w:name w:val="footnote text"/>
    <w:basedOn w:val="Normal"/>
    <w:pPr>
      <w:suppressLineNumbers/>
      <w:tabs>
        <w:tab w:val="clear" w:pos="709"/>
        <w:tab w:val="center" w:pos="5500" w:leader="none"/>
        <w:tab w:val="right" w:pos="11000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5386" w:leader="none"/>
        <w:tab w:val="right" w:pos="10772" w:leader="none"/>
      </w:tabs>
    </w:pPr>
    <w:rPr/>
  </w:style>
  <w:style w:type="paragraph" w:styleId="Contingutdelataulauser">
    <w:name w:val="Contingut de la taula (user)"/>
    <w:basedOn w:val="Normal"/>
    <w:qFormat/>
    <w:pPr>
      <w:suppressLineNumbers/>
    </w:pPr>
    <w:rPr/>
  </w:style>
  <w:style w:type="paragraph" w:styleId="Encapalamentdelataulauser">
    <w:name w:val="Encapçalament de la taula (user)"/>
    <w:basedOn w:val="Contingutdelataulauser"/>
    <w:qFormat/>
    <w:pPr>
      <w:suppressLineNumbers/>
      <w:jc w:val="center"/>
    </w:pPr>
    <w:rPr>
      <w:b/>
      <w:bCs/>
    </w:rPr>
  </w:style>
  <w:style w:type="paragraph" w:styleId="Cita">
    <w:name w:val="Cita"/>
    <w:basedOn w:val="Normal"/>
    <w:qFormat/>
    <w:pPr>
      <w:spacing w:before="0" w:after="283"/>
      <w:ind w:hanging="0" w:start="567" w:end="567"/>
    </w:pPr>
    <w:rPr/>
  </w:style>
  <w:style w:type="paragraph" w:styleId="Estilo1">
    <w:name w:val="Estilo1"/>
    <w:basedOn w:val="Normal"/>
    <w:next w:val="Normal"/>
    <w:qFormat/>
    <w:pPr>
      <w:widowControl/>
      <w:suppressAutoHyphens w:val="false"/>
      <w:spacing w:before="0" w:after="0"/>
      <w:jc w:val="both"/>
    </w:pPr>
    <w:rPr>
      <w:rFonts w:ascii="Arial" w:hAnsi="Arial" w:eastAsia="Times New Roman" w:cs="Arial"/>
      <w:kern w:val="2"/>
      <w:sz w:val="22"/>
      <w:lang w:val="ca-ES"/>
    </w:rPr>
  </w:style>
  <w:style w:type="paragraph" w:styleId="Textodebloque">
    <w:name w:val="Texto de bloque"/>
    <w:basedOn w:val="Normal"/>
    <w:qFormat/>
    <w:pPr>
      <w:ind w:hanging="0" w:start="567" w:end="565"/>
      <w:jc w:val="both"/>
    </w:pPr>
    <w:rPr>
      <w:rFonts w:ascii="Helvetica;Arial" w:hAnsi="Helvetica;Arial" w:cs="Helvetica;Arial"/>
      <w:sz w:val="22"/>
    </w:rPr>
  </w:style>
  <w:style w:type="paragraph" w:styleId="LO-Normal">
    <w:name w:val="LO-Normal"/>
    <w:qFormat/>
    <w:pPr>
      <w:widowControl w:val="false"/>
      <w:suppressAutoHyphens w:val="true"/>
      <w:overflowPunct w:val="false"/>
      <w:bidi w:val="0"/>
      <w:spacing w:before="0" w:after="200"/>
      <w:jc w:val="start"/>
    </w:pPr>
    <w:rPr>
      <w:rFonts w:ascii="Cambria" w:hAnsi="Cambria" w:eastAsia="Cambria" w:cs="Cambria"/>
      <w:color w:val="auto"/>
      <w:kern w:val="2"/>
      <w:sz w:val="24"/>
      <w:szCs w:val="24"/>
      <w:lang w:val="es-ES" w:eastAsia="ar-SA" w:bidi="hi-IN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200"/>
      <w:jc w:val="start"/>
    </w:pPr>
    <w:rPr>
      <w:rFonts w:ascii="Cambria" w:hAnsi="Cambria" w:eastAsia="Cambria" w:cs="Cambria"/>
      <w:color w:val="auto"/>
      <w:kern w:val="2"/>
      <w:sz w:val="24"/>
      <w:szCs w:val="24"/>
      <w:lang w:val="es-ES" w:eastAsia="ar-SA" w:bidi="hi-IN"/>
    </w:rPr>
  </w:style>
  <w:style w:type="paragraph" w:styleId="Citacienblocuser">
    <w:name w:val="Citació en bloc (user)"/>
    <w:basedOn w:val="Normal"/>
    <w:qFormat/>
    <w:pPr>
      <w:suppressAutoHyphens w:val="false"/>
      <w:spacing w:before="0" w:after="283"/>
      <w:ind w:hanging="0" w:start="567" w:end="567"/>
    </w:pPr>
    <w:rPr/>
  </w:style>
  <w:style w:type="paragraph" w:styleId="Cos">
    <w:name w:val="Cos"/>
    <w:qFormat/>
    <w:pPr>
      <w:keepNext w:val="false"/>
      <w:keepLines w:val="false"/>
      <w:pageBreakBefore w:val="false"/>
      <w:widowControl/>
      <w:suppressAutoHyphens w:val="false"/>
      <w:overflowPunct w:val="false"/>
      <w:bidi w:val="0"/>
      <w:spacing w:lineRule="auto" w:line="240" w:before="0" w:after="0"/>
      <w:ind w:hanging="0" w:start="0" w:end="0"/>
      <w:jc w:val="star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Cs w:val="22"/>
      <w:u w:val="none"/>
      <w:vertAlign w:val="baseline"/>
      <w:lang w:val="es-ES" w:eastAsia="zh-CN" w:bidi="hi-IN"/>
    </w:rPr>
  </w:style>
  <w:style w:type="paragraph" w:styleId="Normal1">
    <w:name w:val="Normal1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0"/>
      <w:sz w:val="24"/>
      <w:szCs w:val="24"/>
      <w:lang w:val="es-ES" w:eastAsia="zh-CN" w:bidi="hi-IN"/>
    </w:rPr>
  </w:style>
  <w:style w:type="paragraph" w:styleId="Peromissi">
    <w:name w:val="Per omissió"/>
    <w:qFormat/>
    <w:pPr>
      <w:keepNext w:val="false"/>
      <w:keepLines w:val="false"/>
      <w:pageBreakBefore w:val="false"/>
      <w:widowControl/>
      <w:suppressAutoHyphens w:val="false"/>
      <w:overflowPunct w:val="false"/>
      <w:bidi w:val="0"/>
      <w:spacing w:lineRule="auto" w:line="240" w:before="0" w:after="0"/>
      <w:ind w:hanging="0" w:start="0" w:end="0"/>
      <w:jc w:val="start"/>
    </w:pPr>
    <w:rPr>
      <w:rFonts w:ascii="Helvetica Neue" w:hAnsi="Helvetica Neue" w:eastAsia="Helvetica Neue" w:cs="Helvetica Neue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Cs w:val="22"/>
      <w:u w:val="none"/>
      <w:vertAlign w:val="baseline"/>
      <w:lang w:val="es-ES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214</TotalTime>
  <Application>LibreOffice/25.8.4.2$Windows_X86_64 LibreOffice_project/290daaa01b999472f0c7a3890eb6a550fd74c6df</Application>
  <AppVersion>15.0000</AppVersion>
  <Pages>2</Pages>
  <Words>267</Words>
  <Characters>1378</Characters>
  <CharactersWithSpaces>1621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2017-09-05T20:28:00Z</dcterms:created>
  <dc:creator>GEORGINA COMA</dc:creator>
  <dc:description/>
  <dc:language>ca-ES</dc:language>
  <cp:lastModifiedBy/>
  <cp:lastPrinted>2026-03-02T13:55:41Z</cp:lastPrinted>
  <dcterms:modified xsi:type="dcterms:W3CDTF">2026-03-02T13:55:49Z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